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FC3E9" w14:textId="77777777" w:rsidR="00960F14" w:rsidRPr="005F2FC8" w:rsidRDefault="00960F14" w:rsidP="00960F14">
      <w:pPr>
        <w:tabs>
          <w:tab w:val="left" w:pos="4860"/>
        </w:tabs>
        <w:spacing w:after="0" w:line="240" w:lineRule="auto"/>
        <w:jc w:val="center"/>
        <w:rPr>
          <w:rFonts w:asciiTheme="minorHAnsi" w:hAnsiTheme="minorHAnsi" w:cstheme="minorHAnsi"/>
          <w:b/>
          <w:bCs/>
          <w:color w:val="00B0F0"/>
          <w:sz w:val="28"/>
          <w:szCs w:val="28"/>
        </w:rPr>
      </w:pPr>
      <w:r w:rsidRPr="005F2FC8">
        <w:rPr>
          <w:rFonts w:asciiTheme="minorHAnsi" w:hAnsiTheme="minorHAnsi" w:cstheme="minorHAnsi"/>
          <w:b/>
          <w:bCs/>
          <w:color w:val="00B0F0"/>
          <w:sz w:val="28"/>
          <w:szCs w:val="28"/>
        </w:rPr>
        <w:t>Terms of Reference</w:t>
      </w:r>
    </w:p>
    <w:p w14:paraId="3A4B8CE0" w14:textId="25E13116" w:rsidR="00960F14" w:rsidRPr="00446E56" w:rsidRDefault="00446E56" w:rsidP="00446E56">
      <w:pPr>
        <w:tabs>
          <w:tab w:val="left" w:pos="4860"/>
        </w:tabs>
        <w:spacing w:after="0" w:line="240" w:lineRule="auto"/>
        <w:jc w:val="center"/>
        <w:rPr>
          <w:rFonts w:asciiTheme="minorHAnsi" w:hAnsiTheme="minorHAnsi" w:cstheme="minorHAnsi"/>
          <w:color w:val="00B0F0"/>
          <w:sz w:val="24"/>
          <w:szCs w:val="24"/>
        </w:rPr>
      </w:pPr>
      <w:r w:rsidRPr="00446E56">
        <w:rPr>
          <w:rFonts w:asciiTheme="minorHAnsi" w:hAnsiTheme="minorHAnsi" w:cstheme="minorHAnsi"/>
          <w:color w:val="00B0F0"/>
          <w:sz w:val="24"/>
          <w:szCs w:val="24"/>
        </w:rPr>
        <w:t>(</w:t>
      </w:r>
      <w:r>
        <w:rPr>
          <w:rFonts w:asciiTheme="minorHAnsi" w:hAnsiTheme="minorHAnsi" w:cstheme="minorHAnsi"/>
          <w:color w:val="00B0F0"/>
          <w:sz w:val="24"/>
          <w:szCs w:val="24"/>
        </w:rPr>
        <w:t>Intern from the Republic of Korea</w:t>
      </w:r>
      <w:r w:rsidRPr="00446E56">
        <w:rPr>
          <w:rFonts w:asciiTheme="minorHAnsi" w:hAnsiTheme="minorHAnsi" w:cstheme="minorHAnsi"/>
          <w:color w:val="00B0F0"/>
          <w:sz w:val="24"/>
          <w:szCs w:val="24"/>
        </w:rPr>
        <w:t>)</w:t>
      </w:r>
    </w:p>
    <w:p w14:paraId="1BC6E284" w14:textId="77777777" w:rsidR="00446E56" w:rsidRPr="005F2FC8" w:rsidRDefault="00446E56" w:rsidP="00960F14">
      <w:pPr>
        <w:tabs>
          <w:tab w:val="left" w:pos="4860"/>
        </w:tabs>
        <w:spacing w:after="0" w:line="240" w:lineRule="auto"/>
        <w:rPr>
          <w:rFonts w:asciiTheme="minorHAnsi" w:hAnsiTheme="minorHAnsi" w:cstheme="minorHAnsi"/>
          <w:b/>
          <w:bCs/>
          <w:color w:val="FF0000"/>
          <w:u w:val="single"/>
        </w:rPr>
      </w:pPr>
    </w:p>
    <w:p w14:paraId="7F682EEF" w14:textId="4D894090" w:rsidR="00960F14" w:rsidRPr="005F2FC8" w:rsidRDefault="00960F14" w:rsidP="00960F14">
      <w:pPr>
        <w:tabs>
          <w:tab w:val="left" w:pos="288"/>
          <w:tab w:val="left" w:pos="3888"/>
          <w:tab w:val="left" w:pos="4320"/>
          <w:tab w:val="left" w:pos="4860"/>
        </w:tabs>
        <w:spacing w:after="0" w:line="240" w:lineRule="auto"/>
        <w:rPr>
          <w:rFonts w:asciiTheme="minorHAnsi" w:hAnsiTheme="minorHAnsi" w:cstheme="minorHAnsi"/>
          <w:b/>
          <w:bCs/>
          <w:color w:val="auto"/>
        </w:rPr>
      </w:pPr>
      <w:r w:rsidRPr="005F2FC8">
        <w:rPr>
          <w:rFonts w:asciiTheme="minorHAnsi" w:hAnsiTheme="minorHAnsi" w:cstheme="minorHAnsi"/>
          <w:b/>
          <w:bCs/>
          <w:color w:val="auto"/>
        </w:rPr>
        <w:t xml:space="preserve">Assignment title: </w:t>
      </w:r>
      <w:r w:rsidR="00446E56">
        <w:rPr>
          <w:rFonts w:asciiTheme="minorHAnsi" w:hAnsiTheme="minorHAnsi" w:cstheme="minorHAnsi"/>
          <w:b/>
          <w:bCs/>
          <w:color w:val="auto"/>
        </w:rPr>
        <w:tab/>
      </w:r>
      <w:r w:rsidRPr="005F2FC8">
        <w:rPr>
          <w:rFonts w:asciiTheme="minorHAnsi" w:hAnsiTheme="minorHAnsi" w:cstheme="minorHAnsi"/>
          <w:color w:val="auto"/>
        </w:rPr>
        <w:t xml:space="preserve">Education </w:t>
      </w:r>
      <w:r>
        <w:rPr>
          <w:rFonts w:asciiTheme="minorHAnsi" w:hAnsiTheme="minorHAnsi" w:cstheme="minorHAnsi"/>
          <w:color w:val="auto"/>
        </w:rPr>
        <w:t>Intern</w:t>
      </w:r>
      <w:r w:rsidRPr="005F2FC8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5ADD848D" w14:textId="77777777" w:rsidR="00960F14" w:rsidRDefault="00960F14" w:rsidP="00960F14">
      <w:pPr>
        <w:tabs>
          <w:tab w:val="left" w:pos="288"/>
          <w:tab w:val="left" w:pos="2880"/>
          <w:tab w:val="left" w:pos="3168"/>
          <w:tab w:val="left" w:pos="3888"/>
          <w:tab w:val="left" w:pos="4320"/>
          <w:tab w:val="left" w:pos="4860"/>
        </w:tabs>
        <w:spacing w:after="0" w:line="240" w:lineRule="auto"/>
        <w:rPr>
          <w:rFonts w:asciiTheme="minorHAnsi" w:hAnsiTheme="minorHAnsi" w:cstheme="minorHAnsi"/>
          <w:color w:val="auto"/>
        </w:rPr>
      </w:pPr>
      <w:r w:rsidRPr="005F2FC8">
        <w:rPr>
          <w:rFonts w:asciiTheme="minorHAnsi" w:hAnsiTheme="minorHAnsi" w:cstheme="minorHAnsi"/>
          <w:b/>
          <w:bCs/>
          <w:color w:val="auto"/>
        </w:rPr>
        <w:t>UN Host Entity:</w:t>
      </w:r>
      <w:r w:rsidRPr="005F2FC8">
        <w:rPr>
          <w:rFonts w:asciiTheme="minorHAnsi" w:hAnsiTheme="minorHAnsi" w:cstheme="minorHAnsi"/>
          <w:b/>
          <w:bCs/>
          <w:color w:val="auto"/>
        </w:rPr>
        <w:tab/>
      </w:r>
      <w:r w:rsidRPr="005F2FC8">
        <w:rPr>
          <w:rFonts w:asciiTheme="minorHAnsi" w:hAnsiTheme="minorHAnsi" w:cstheme="minorHAnsi"/>
          <w:b/>
          <w:bCs/>
          <w:color w:val="auto"/>
        </w:rPr>
        <w:tab/>
      </w:r>
      <w:r w:rsidRPr="005F2FC8">
        <w:rPr>
          <w:rFonts w:asciiTheme="minorHAnsi" w:hAnsiTheme="minorHAnsi" w:cstheme="minorHAnsi"/>
          <w:b/>
          <w:bCs/>
          <w:color w:val="auto"/>
        </w:rPr>
        <w:tab/>
      </w:r>
      <w:r w:rsidRPr="005F2FC8">
        <w:rPr>
          <w:rFonts w:asciiTheme="minorHAnsi" w:hAnsiTheme="minorHAnsi" w:cstheme="minorHAnsi"/>
          <w:color w:val="auto"/>
        </w:rPr>
        <w:t>UNICEF Philippines</w:t>
      </w:r>
      <w:r>
        <w:rPr>
          <w:rFonts w:asciiTheme="minorHAnsi" w:hAnsiTheme="minorHAnsi" w:cstheme="minorHAnsi"/>
          <w:color w:val="auto"/>
        </w:rPr>
        <w:t xml:space="preserve"> (Manila Office)</w:t>
      </w:r>
    </w:p>
    <w:p w14:paraId="5F0188CA" w14:textId="5AD0C73C" w:rsidR="00446E56" w:rsidRPr="005F2FC8" w:rsidRDefault="00446E56" w:rsidP="00960F14">
      <w:pPr>
        <w:tabs>
          <w:tab w:val="left" w:pos="288"/>
          <w:tab w:val="left" w:pos="2880"/>
          <w:tab w:val="left" w:pos="3168"/>
          <w:tab w:val="left" w:pos="3888"/>
          <w:tab w:val="left" w:pos="4320"/>
          <w:tab w:val="left" w:pos="4860"/>
        </w:tabs>
        <w:spacing w:after="0" w:line="240" w:lineRule="auto"/>
        <w:rPr>
          <w:rFonts w:asciiTheme="minorHAnsi" w:hAnsiTheme="minorHAnsi" w:cstheme="minorHAnsi"/>
          <w:color w:val="auto"/>
        </w:rPr>
      </w:pPr>
      <w:r w:rsidRPr="00446E56">
        <w:rPr>
          <w:rFonts w:asciiTheme="minorHAnsi" w:hAnsiTheme="minorHAnsi" w:cstheme="minorHAnsi"/>
          <w:b/>
          <w:bCs/>
          <w:color w:val="auto"/>
        </w:rPr>
        <w:t>Hiring Manager:</w:t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ab/>
        <w:t>Akihiro Fushimi (Chief, Education)</w:t>
      </w:r>
    </w:p>
    <w:p w14:paraId="7F330DA1" w14:textId="77777777" w:rsidR="00960F14" w:rsidRPr="005F2FC8" w:rsidRDefault="00960F14" w:rsidP="00960F14">
      <w:pPr>
        <w:tabs>
          <w:tab w:val="left" w:pos="288"/>
          <w:tab w:val="left" w:pos="2880"/>
          <w:tab w:val="left" w:pos="3168"/>
          <w:tab w:val="left" w:pos="3888"/>
          <w:tab w:val="left" w:pos="4320"/>
          <w:tab w:val="left" w:pos="4860"/>
        </w:tabs>
        <w:spacing w:after="0" w:line="240" w:lineRule="auto"/>
        <w:rPr>
          <w:rFonts w:asciiTheme="minorHAnsi" w:hAnsiTheme="minorHAnsi" w:cstheme="minorHAnsi"/>
          <w:color w:val="auto"/>
        </w:rPr>
      </w:pPr>
      <w:r w:rsidRPr="005F2FC8">
        <w:rPr>
          <w:rFonts w:asciiTheme="minorHAnsi" w:hAnsiTheme="minorHAnsi" w:cstheme="minorHAnsi"/>
          <w:b/>
          <w:bCs/>
          <w:color w:val="auto"/>
        </w:rPr>
        <w:t>Duration:</w:t>
      </w:r>
      <w:r w:rsidRPr="005F2FC8">
        <w:rPr>
          <w:rFonts w:asciiTheme="minorHAnsi" w:hAnsiTheme="minorHAnsi" w:cstheme="minorHAnsi"/>
          <w:color w:val="auto"/>
        </w:rPr>
        <w:tab/>
      </w:r>
      <w:r w:rsidRPr="005F2FC8">
        <w:rPr>
          <w:rFonts w:asciiTheme="minorHAnsi" w:hAnsiTheme="minorHAnsi" w:cstheme="minorHAnsi"/>
          <w:color w:val="auto"/>
        </w:rPr>
        <w:tab/>
      </w:r>
      <w:r w:rsidRPr="005F2FC8">
        <w:rPr>
          <w:rFonts w:asciiTheme="minorHAnsi" w:hAnsiTheme="minorHAnsi" w:cstheme="minorHAnsi"/>
          <w:color w:val="auto"/>
        </w:rPr>
        <w:tab/>
      </w:r>
      <w:r>
        <w:rPr>
          <w:rFonts w:asciiTheme="minorHAnsi" w:hAnsiTheme="minorHAnsi" w:cstheme="minorHAnsi"/>
          <w:color w:val="auto"/>
        </w:rPr>
        <w:t>6</w:t>
      </w:r>
      <w:r w:rsidRPr="005F2FC8">
        <w:rPr>
          <w:rFonts w:asciiTheme="minorHAnsi" w:hAnsiTheme="minorHAnsi" w:cstheme="minorHAnsi"/>
          <w:color w:val="auto"/>
        </w:rPr>
        <w:t xml:space="preserve"> months </w:t>
      </w:r>
      <w:r>
        <w:rPr>
          <w:rFonts w:asciiTheme="minorHAnsi" w:hAnsiTheme="minorHAnsi" w:cstheme="minorHAnsi"/>
          <w:color w:val="auto"/>
        </w:rPr>
        <w:t>(September 2025 – February 2026)</w:t>
      </w:r>
    </w:p>
    <w:p w14:paraId="649ED5B8" w14:textId="77777777" w:rsidR="00960F14" w:rsidRDefault="00960F14" w:rsidP="00960F14">
      <w:pPr>
        <w:tabs>
          <w:tab w:val="left" w:pos="4860"/>
        </w:tabs>
        <w:spacing w:after="0" w:line="240" w:lineRule="auto"/>
        <w:rPr>
          <w:rFonts w:asciiTheme="minorHAnsi" w:hAnsiTheme="minorHAnsi" w:cstheme="minorHAnsi"/>
          <w:b/>
          <w:bCs/>
          <w:color w:val="auto"/>
        </w:rPr>
      </w:pPr>
    </w:p>
    <w:p w14:paraId="3C79D3FA" w14:textId="136B7476" w:rsidR="00960F14" w:rsidRPr="005F2FC8" w:rsidRDefault="00960F14" w:rsidP="00960F14">
      <w:pPr>
        <w:tabs>
          <w:tab w:val="left" w:pos="4860"/>
        </w:tabs>
        <w:spacing w:after="0" w:line="240" w:lineRule="auto"/>
        <w:rPr>
          <w:rFonts w:asciiTheme="minorHAnsi" w:eastAsia="Times New Roman" w:hAnsiTheme="minorHAnsi" w:cstheme="minorHAnsi"/>
          <w:color w:val="auto"/>
          <w:lang w:val="en-US"/>
        </w:rPr>
      </w:pPr>
      <w:r>
        <w:rPr>
          <w:rFonts w:asciiTheme="minorHAnsi" w:hAnsiTheme="minorHAnsi" w:cstheme="minorHAnsi"/>
          <w:b/>
          <w:bCs/>
          <w:color w:val="auto"/>
        </w:rPr>
        <w:t>Context:</w:t>
      </w:r>
    </w:p>
    <w:p w14:paraId="3EF2E142" w14:textId="77777777" w:rsidR="00960F14" w:rsidRDefault="00960F14" w:rsidP="00960F14">
      <w:pPr>
        <w:tabs>
          <w:tab w:val="left" w:pos="360"/>
          <w:tab w:val="left" w:pos="3330"/>
          <w:tab w:val="left" w:pos="3420"/>
          <w:tab w:val="decimal" w:pos="9498"/>
        </w:tabs>
        <w:spacing w:after="0" w:line="240" w:lineRule="auto"/>
        <w:ind w:right="-476"/>
        <w:rPr>
          <w:rFonts w:asciiTheme="minorHAnsi" w:hAnsiTheme="minorHAnsi" w:cstheme="minorHAnsi"/>
          <w:color w:val="auto"/>
        </w:rPr>
      </w:pPr>
    </w:p>
    <w:p w14:paraId="1A8801AB" w14:textId="612FD8B7" w:rsidR="00960F14" w:rsidRDefault="00960F14" w:rsidP="00960F14">
      <w:pPr>
        <w:tabs>
          <w:tab w:val="left" w:pos="360"/>
          <w:tab w:val="left" w:pos="3330"/>
          <w:tab w:val="left" w:pos="3420"/>
          <w:tab w:val="decimal" w:pos="9498"/>
        </w:tabs>
        <w:spacing w:after="0" w:line="240" w:lineRule="auto"/>
        <w:ind w:right="-476"/>
        <w:rPr>
          <w:rFonts w:asciiTheme="minorHAnsi" w:hAnsiTheme="minorHAnsi" w:cstheme="minorHAnsi"/>
          <w:color w:val="auto"/>
        </w:rPr>
      </w:pPr>
      <w:r w:rsidRPr="005F2FC8">
        <w:rPr>
          <w:rFonts w:asciiTheme="minorHAnsi" w:hAnsiTheme="minorHAnsi" w:cstheme="minorHAnsi"/>
          <w:color w:val="auto"/>
        </w:rPr>
        <w:t>The Philippines is facing significant learning crisis, which were worsened by the impact of the COVID-19 pandemic as the country experienced one of the longest school closures in the world.</w:t>
      </w:r>
      <w:r>
        <w:rPr>
          <w:rFonts w:asciiTheme="minorHAnsi" w:hAnsiTheme="minorHAnsi" w:cstheme="minorHAnsi"/>
          <w:color w:val="auto"/>
        </w:rPr>
        <w:t xml:space="preserve"> Moreover, more frequent and severer disasters, exacerbated by climate change, continue to cause learning disruptions as classes are suspended without effective learning continuity</w:t>
      </w:r>
      <w:r w:rsidRPr="005F2FC8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each year. </w:t>
      </w:r>
    </w:p>
    <w:p w14:paraId="288DE53A" w14:textId="77777777" w:rsidR="00960F14" w:rsidRDefault="00960F14" w:rsidP="00960F14">
      <w:pPr>
        <w:tabs>
          <w:tab w:val="left" w:pos="360"/>
          <w:tab w:val="left" w:pos="3330"/>
          <w:tab w:val="left" w:pos="3420"/>
          <w:tab w:val="decimal" w:pos="9498"/>
        </w:tabs>
        <w:spacing w:after="0" w:line="240" w:lineRule="auto"/>
        <w:ind w:right="-476"/>
        <w:rPr>
          <w:rFonts w:asciiTheme="minorHAnsi" w:hAnsiTheme="minorHAnsi" w:cstheme="minorHAnsi"/>
          <w:color w:val="auto"/>
        </w:rPr>
      </w:pPr>
    </w:p>
    <w:p w14:paraId="26FD3C1D" w14:textId="337048D6" w:rsidR="00960F14" w:rsidRDefault="00960F14" w:rsidP="00960F14">
      <w:pPr>
        <w:tabs>
          <w:tab w:val="left" w:pos="360"/>
          <w:tab w:val="left" w:pos="3330"/>
          <w:tab w:val="left" w:pos="3420"/>
          <w:tab w:val="decimal" w:pos="9498"/>
        </w:tabs>
        <w:spacing w:after="0" w:line="240" w:lineRule="auto"/>
        <w:ind w:right="-476"/>
        <w:rPr>
          <w:rFonts w:asciiTheme="minorHAnsi" w:hAnsiTheme="minorHAnsi" w:cstheme="minorHAnsi"/>
          <w:color w:val="auto"/>
        </w:rPr>
      </w:pPr>
      <w:r w:rsidRPr="005F2FC8">
        <w:rPr>
          <w:rFonts w:asciiTheme="minorHAnsi" w:hAnsiTheme="minorHAnsi" w:cstheme="minorHAnsi"/>
          <w:color w:val="auto"/>
        </w:rPr>
        <w:t xml:space="preserve">In this context, under the current UNICEF-Philippines 9th Country Programme for Children (2024–2028), UNICEF Education Team works for and with children from early childhood to adolescence. This includes a focus on pre-primary education and early learning in early childhood, foundational literacy and numeracy through primary education, and education and skills development for marginalized adolescents. UNICEF focuses on ensuring </w:t>
      </w:r>
      <w:r>
        <w:rPr>
          <w:rFonts w:asciiTheme="minorHAnsi" w:hAnsiTheme="minorHAnsi" w:cstheme="minorHAnsi"/>
          <w:color w:val="auto"/>
        </w:rPr>
        <w:t>the most vulnerable and disadvantaged children and young people access quality education while t</w:t>
      </w:r>
      <w:r w:rsidRPr="005F2FC8">
        <w:rPr>
          <w:rFonts w:asciiTheme="minorHAnsi" w:hAnsiTheme="minorHAnsi" w:cstheme="minorHAnsi"/>
          <w:color w:val="auto"/>
        </w:rPr>
        <w:t xml:space="preserve">he organization is cognizant of the importance of digital learning and quality education data for ensuring children’s futures. </w:t>
      </w:r>
    </w:p>
    <w:p w14:paraId="13ABE85C" w14:textId="77777777" w:rsidR="00960F14" w:rsidRPr="005F2FC8" w:rsidRDefault="00960F14" w:rsidP="00960F14">
      <w:pPr>
        <w:tabs>
          <w:tab w:val="left" w:pos="360"/>
          <w:tab w:val="left" w:pos="3330"/>
          <w:tab w:val="left" w:pos="3420"/>
          <w:tab w:val="decimal" w:pos="9498"/>
        </w:tabs>
        <w:spacing w:after="0" w:line="240" w:lineRule="auto"/>
        <w:ind w:right="-476"/>
        <w:rPr>
          <w:rFonts w:asciiTheme="minorHAnsi" w:hAnsiTheme="minorHAnsi" w:cstheme="minorHAnsi"/>
          <w:color w:val="auto"/>
        </w:rPr>
      </w:pPr>
    </w:p>
    <w:p w14:paraId="40ADEAF9" w14:textId="227507A2" w:rsidR="00960F14" w:rsidRPr="005F2FC8" w:rsidRDefault="00960F14" w:rsidP="00960F14">
      <w:pPr>
        <w:tabs>
          <w:tab w:val="left" w:pos="3060"/>
          <w:tab w:val="decimal" w:pos="9498"/>
        </w:tabs>
        <w:spacing w:after="0" w:line="240" w:lineRule="auto"/>
        <w:rPr>
          <w:rFonts w:asciiTheme="minorHAnsi" w:hAnsiTheme="minorHAnsi" w:cstheme="minorHAnsi"/>
          <w:b/>
          <w:bCs/>
          <w:color w:val="auto"/>
        </w:rPr>
      </w:pPr>
      <w:r w:rsidRPr="005F2FC8">
        <w:rPr>
          <w:rFonts w:asciiTheme="minorHAnsi" w:hAnsiTheme="minorHAnsi" w:cstheme="minorHAnsi"/>
          <w:b/>
          <w:bCs/>
          <w:color w:val="auto"/>
        </w:rPr>
        <w:t xml:space="preserve">Task </w:t>
      </w:r>
      <w:r>
        <w:rPr>
          <w:rFonts w:asciiTheme="minorHAnsi" w:hAnsiTheme="minorHAnsi" w:cstheme="minorHAnsi"/>
          <w:b/>
          <w:bCs/>
          <w:color w:val="auto"/>
        </w:rPr>
        <w:t>D</w:t>
      </w:r>
      <w:r w:rsidRPr="005F2FC8">
        <w:rPr>
          <w:rFonts w:asciiTheme="minorHAnsi" w:hAnsiTheme="minorHAnsi" w:cstheme="minorHAnsi"/>
          <w:b/>
          <w:bCs/>
          <w:color w:val="auto"/>
        </w:rPr>
        <w:t xml:space="preserve">escription </w:t>
      </w:r>
    </w:p>
    <w:p w14:paraId="238EF4EC" w14:textId="77777777" w:rsidR="00960F14" w:rsidRDefault="00960F14" w:rsidP="00960F14">
      <w:pPr>
        <w:tabs>
          <w:tab w:val="left" w:pos="3060"/>
          <w:tab w:val="decimal" w:pos="9498"/>
        </w:tabs>
        <w:spacing w:after="0" w:line="240" w:lineRule="auto"/>
        <w:rPr>
          <w:rFonts w:asciiTheme="minorHAnsi" w:eastAsia="MS Gothic" w:hAnsiTheme="minorHAnsi" w:cstheme="minorHAnsi"/>
          <w:bCs/>
          <w:color w:val="auto"/>
        </w:rPr>
      </w:pPr>
    </w:p>
    <w:p w14:paraId="6B1C2A7F" w14:textId="691BBDB5" w:rsidR="00960F14" w:rsidRPr="005F2FC8" w:rsidRDefault="00960F14" w:rsidP="00960F14">
      <w:pPr>
        <w:tabs>
          <w:tab w:val="left" w:pos="3060"/>
          <w:tab w:val="decimal" w:pos="9498"/>
        </w:tabs>
        <w:spacing w:after="0" w:line="240" w:lineRule="auto"/>
        <w:rPr>
          <w:rFonts w:asciiTheme="minorHAnsi" w:eastAsia="MS Gothic" w:hAnsiTheme="minorHAnsi" w:cstheme="minorHAnsi"/>
          <w:bCs/>
          <w:color w:val="auto"/>
        </w:rPr>
      </w:pPr>
      <w:r w:rsidRPr="005F2FC8">
        <w:rPr>
          <w:rFonts w:asciiTheme="minorHAnsi" w:eastAsia="MS Gothic" w:hAnsiTheme="minorHAnsi" w:cstheme="minorHAnsi"/>
          <w:bCs/>
          <w:color w:val="auto"/>
        </w:rPr>
        <w:t xml:space="preserve">Under the direct supervision of Education Specialist responsible for managing UNICEF Philippines strategic engagement on basic education, with a focus on foundational learning and education system strengthening, the </w:t>
      </w:r>
      <w:r>
        <w:rPr>
          <w:rFonts w:asciiTheme="minorHAnsi" w:eastAsia="MS Gothic" w:hAnsiTheme="minorHAnsi" w:cstheme="minorHAnsi"/>
          <w:bCs/>
          <w:color w:val="auto"/>
        </w:rPr>
        <w:t>intern</w:t>
      </w:r>
      <w:r w:rsidRPr="005F2FC8">
        <w:rPr>
          <w:rFonts w:asciiTheme="minorHAnsi" w:eastAsia="MS Gothic" w:hAnsiTheme="minorHAnsi" w:cstheme="minorHAnsi"/>
          <w:bCs/>
          <w:color w:val="auto"/>
        </w:rPr>
        <w:t xml:space="preserve"> will undertake the following tasks: </w:t>
      </w:r>
    </w:p>
    <w:p w14:paraId="32973463" w14:textId="77777777" w:rsidR="00960F14" w:rsidRPr="005F2FC8" w:rsidRDefault="00960F14" w:rsidP="00960F14">
      <w:pPr>
        <w:tabs>
          <w:tab w:val="left" w:pos="3060"/>
          <w:tab w:val="decimal" w:pos="9498"/>
        </w:tabs>
        <w:spacing w:after="0" w:line="240" w:lineRule="auto"/>
        <w:rPr>
          <w:rFonts w:asciiTheme="minorHAnsi" w:eastAsia="Calibri" w:hAnsiTheme="minorHAnsi" w:cstheme="minorHAnsi"/>
          <w:color w:val="auto"/>
        </w:rPr>
      </w:pPr>
    </w:p>
    <w:p w14:paraId="6DC18351" w14:textId="135B8E10" w:rsidR="00960F14" w:rsidRPr="005F2FC8" w:rsidRDefault="00960F14" w:rsidP="00960F14">
      <w:pPr>
        <w:pStyle w:val="ListParagraph"/>
        <w:numPr>
          <w:ilvl w:val="0"/>
          <w:numId w:val="3"/>
        </w:numPr>
        <w:tabs>
          <w:tab w:val="left" w:pos="3060"/>
          <w:tab w:val="decimal" w:pos="9498"/>
        </w:tabs>
        <w:suppressAutoHyphens w:val="0"/>
        <w:autoSpaceDN/>
        <w:spacing w:after="0" w:line="240" w:lineRule="auto"/>
        <w:textAlignment w:val="auto"/>
        <w:rPr>
          <w:rFonts w:asciiTheme="minorHAnsi" w:eastAsia="MS Gothic" w:hAnsiTheme="minorHAnsi" w:cstheme="minorHAnsi"/>
          <w:bCs/>
          <w:i/>
          <w:iCs/>
        </w:rPr>
      </w:pPr>
      <w:r w:rsidRPr="005F2FC8">
        <w:rPr>
          <w:rFonts w:asciiTheme="minorHAnsi" w:eastAsia="MS Gothic" w:hAnsiTheme="minorHAnsi" w:cstheme="minorHAnsi"/>
          <w:bCs/>
          <w:i/>
          <w:iCs/>
        </w:rPr>
        <w:t xml:space="preserve">Technical Assistance, Capacity Development and Advocacy </w:t>
      </w:r>
    </w:p>
    <w:p w14:paraId="33D7B3F6" w14:textId="4F9933DB" w:rsidR="00960F14" w:rsidRPr="005F2FC8" w:rsidRDefault="00960F14" w:rsidP="00960F14">
      <w:pPr>
        <w:pStyle w:val="ListParagraph"/>
        <w:numPr>
          <w:ilvl w:val="0"/>
          <w:numId w:val="4"/>
        </w:numPr>
        <w:tabs>
          <w:tab w:val="left" w:pos="3060"/>
          <w:tab w:val="decimal" w:pos="9498"/>
        </w:tabs>
        <w:suppressAutoHyphens w:val="0"/>
        <w:autoSpaceDN/>
        <w:spacing w:after="0" w:line="240" w:lineRule="auto"/>
        <w:textAlignment w:val="auto"/>
        <w:rPr>
          <w:rFonts w:asciiTheme="minorHAnsi" w:eastAsia="MS Gothic" w:hAnsiTheme="minorHAnsi" w:cstheme="minorHAnsi"/>
          <w:bCs/>
        </w:rPr>
      </w:pPr>
      <w:r>
        <w:rPr>
          <w:rFonts w:asciiTheme="minorHAnsi" w:eastAsia="MS Gothic" w:hAnsiTheme="minorHAnsi" w:cstheme="minorHAnsi"/>
          <w:bCs/>
        </w:rPr>
        <w:t>Contribute to the d</w:t>
      </w:r>
      <w:r w:rsidRPr="005F2FC8">
        <w:rPr>
          <w:rFonts w:asciiTheme="minorHAnsi" w:eastAsia="MS Gothic" w:hAnsiTheme="minorHAnsi" w:cstheme="minorHAnsi"/>
          <w:bCs/>
        </w:rPr>
        <w:t>evelopment of policies, plans, standards and various ‘roadmaps/strategies’</w:t>
      </w:r>
      <w:r>
        <w:rPr>
          <w:rFonts w:asciiTheme="minorHAnsi" w:eastAsia="MS Gothic" w:hAnsiTheme="minorHAnsi" w:cstheme="minorHAnsi"/>
          <w:bCs/>
        </w:rPr>
        <w:t xml:space="preserve"> through </w:t>
      </w:r>
      <w:r w:rsidR="00446E56">
        <w:rPr>
          <w:rFonts w:asciiTheme="minorHAnsi" w:eastAsia="MS Gothic" w:hAnsiTheme="minorHAnsi" w:cstheme="minorHAnsi"/>
          <w:bCs/>
        </w:rPr>
        <w:t xml:space="preserve">production of </w:t>
      </w:r>
      <w:r w:rsidR="00446E56" w:rsidRPr="005F2FC8">
        <w:rPr>
          <w:rFonts w:asciiTheme="minorHAnsi" w:eastAsia="MS Gothic" w:hAnsiTheme="minorHAnsi" w:cstheme="minorHAnsi"/>
          <w:bCs/>
        </w:rPr>
        <w:t>technical documents/concept notes</w:t>
      </w:r>
      <w:r w:rsidR="00446E56">
        <w:rPr>
          <w:rFonts w:asciiTheme="minorHAnsi" w:eastAsia="MS Gothic" w:hAnsiTheme="minorHAnsi" w:cstheme="minorHAnsi"/>
          <w:bCs/>
        </w:rPr>
        <w:t xml:space="preserve"> and evidence generation through research etc. </w:t>
      </w:r>
    </w:p>
    <w:p w14:paraId="751FAFD1" w14:textId="3124D127" w:rsidR="00960F14" w:rsidRPr="005F2FC8" w:rsidRDefault="00960F14" w:rsidP="00960F14">
      <w:pPr>
        <w:pStyle w:val="ListParagraph"/>
        <w:numPr>
          <w:ilvl w:val="0"/>
          <w:numId w:val="4"/>
        </w:numPr>
        <w:tabs>
          <w:tab w:val="left" w:pos="3060"/>
          <w:tab w:val="decimal" w:pos="9498"/>
        </w:tabs>
        <w:suppressAutoHyphens w:val="0"/>
        <w:autoSpaceDN/>
        <w:spacing w:after="0" w:line="240" w:lineRule="auto"/>
        <w:textAlignment w:val="auto"/>
        <w:rPr>
          <w:rFonts w:asciiTheme="minorHAnsi" w:eastAsia="MS Gothic" w:hAnsiTheme="minorHAnsi" w:cstheme="minorHAnsi"/>
          <w:bCs/>
        </w:rPr>
      </w:pPr>
      <w:r>
        <w:rPr>
          <w:rFonts w:asciiTheme="minorHAnsi" w:eastAsia="MS Gothic" w:hAnsiTheme="minorHAnsi" w:cstheme="minorHAnsi"/>
          <w:bCs/>
        </w:rPr>
        <w:t>Assist c</w:t>
      </w:r>
      <w:r w:rsidRPr="005F2FC8">
        <w:rPr>
          <w:rFonts w:asciiTheme="minorHAnsi" w:eastAsia="MS Gothic" w:hAnsiTheme="minorHAnsi" w:cstheme="minorHAnsi"/>
          <w:bCs/>
        </w:rPr>
        <w:t>apacity development interventions and advocacy around early childhood education (ECE) / early childhood care and development (ECCD), basic education and foundational learning, and learning and skills development</w:t>
      </w:r>
      <w:r>
        <w:rPr>
          <w:rFonts w:asciiTheme="minorHAnsi" w:eastAsia="MS Gothic" w:hAnsiTheme="minorHAnsi" w:cstheme="minorHAnsi"/>
          <w:bCs/>
        </w:rPr>
        <w:t xml:space="preserve"> for adolescents and youth.</w:t>
      </w:r>
    </w:p>
    <w:p w14:paraId="34DDF372" w14:textId="77777777" w:rsidR="00960F14" w:rsidRPr="005F2FC8" w:rsidRDefault="00960F14" w:rsidP="00960F14">
      <w:pPr>
        <w:tabs>
          <w:tab w:val="left" w:pos="3060"/>
          <w:tab w:val="decimal" w:pos="9498"/>
        </w:tabs>
        <w:spacing w:after="0" w:line="240" w:lineRule="auto"/>
        <w:rPr>
          <w:rFonts w:asciiTheme="minorHAnsi" w:eastAsia="MS Gothic" w:hAnsiTheme="minorHAnsi" w:cstheme="minorHAnsi"/>
          <w:bCs/>
          <w:color w:val="auto"/>
        </w:rPr>
      </w:pPr>
    </w:p>
    <w:p w14:paraId="41D1380D" w14:textId="6EB6BE71" w:rsidR="00960F14" w:rsidRPr="005F2FC8" w:rsidRDefault="00960F14" w:rsidP="00960F14">
      <w:pPr>
        <w:pStyle w:val="ListParagraph"/>
        <w:numPr>
          <w:ilvl w:val="0"/>
          <w:numId w:val="3"/>
        </w:numPr>
        <w:tabs>
          <w:tab w:val="left" w:pos="3060"/>
          <w:tab w:val="decimal" w:pos="9498"/>
        </w:tabs>
        <w:suppressAutoHyphens w:val="0"/>
        <w:autoSpaceDN/>
        <w:spacing w:after="0" w:line="240" w:lineRule="auto"/>
        <w:textAlignment w:val="auto"/>
        <w:rPr>
          <w:rFonts w:asciiTheme="minorHAnsi" w:eastAsia="MS Gothic" w:hAnsiTheme="minorHAnsi" w:cstheme="minorHAnsi"/>
          <w:bCs/>
          <w:i/>
          <w:iCs/>
        </w:rPr>
      </w:pPr>
      <w:r w:rsidRPr="005F2FC8">
        <w:rPr>
          <w:rFonts w:asciiTheme="minorHAnsi" w:eastAsia="MS Gothic" w:hAnsiTheme="minorHAnsi" w:cstheme="minorHAnsi"/>
          <w:bCs/>
          <w:i/>
          <w:iCs/>
        </w:rPr>
        <w:t xml:space="preserve">Programme and Knowledge Management </w:t>
      </w:r>
    </w:p>
    <w:p w14:paraId="12602A2F" w14:textId="77777777" w:rsidR="00960F14" w:rsidRPr="005F2FC8" w:rsidRDefault="00960F14" w:rsidP="00960F14">
      <w:pPr>
        <w:pStyle w:val="ListParagraph"/>
        <w:numPr>
          <w:ilvl w:val="0"/>
          <w:numId w:val="4"/>
        </w:numPr>
        <w:tabs>
          <w:tab w:val="left" w:pos="3060"/>
          <w:tab w:val="decimal" w:pos="9498"/>
        </w:tabs>
        <w:suppressAutoHyphens w:val="0"/>
        <w:autoSpaceDN/>
        <w:spacing w:after="0" w:line="240" w:lineRule="auto"/>
        <w:textAlignment w:val="auto"/>
        <w:rPr>
          <w:rFonts w:asciiTheme="minorHAnsi" w:eastAsia="MS Gothic" w:hAnsiTheme="minorHAnsi" w:cstheme="minorHAnsi"/>
          <w:bCs/>
        </w:rPr>
      </w:pPr>
      <w:r w:rsidRPr="005F2FC8">
        <w:rPr>
          <w:rFonts w:asciiTheme="minorHAnsi" w:eastAsia="MS Gothic" w:hAnsiTheme="minorHAnsi" w:cstheme="minorHAnsi"/>
          <w:bCs/>
        </w:rPr>
        <w:t>Support the Chief of Education and other Education Specialists</w:t>
      </w:r>
      <w:r>
        <w:rPr>
          <w:rFonts w:asciiTheme="minorHAnsi" w:eastAsia="MS Gothic" w:hAnsiTheme="minorHAnsi" w:cstheme="minorHAnsi"/>
          <w:bCs/>
        </w:rPr>
        <w:t>/Officers</w:t>
      </w:r>
      <w:r w:rsidRPr="005F2FC8">
        <w:rPr>
          <w:rFonts w:asciiTheme="minorHAnsi" w:eastAsia="MS Gothic" w:hAnsiTheme="minorHAnsi" w:cstheme="minorHAnsi"/>
          <w:bCs/>
        </w:rPr>
        <w:t xml:space="preserve"> in solid work planning, programme management and review processes.  </w:t>
      </w:r>
    </w:p>
    <w:p w14:paraId="246097BD" w14:textId="77777777" w:rsidR="00960F14" w:rsidRPr="005F2FC8" w:rsidRDefault="00960F14" w:rsidP="00960F14">
      <w:pPr>
        <w:pStyle w:val="ListParagraph"/>
        <w:numPr>
          <w:ilvl w:val="0"/>
          <w:numId w:val="4"/>
        </w:numPr>
        <w:tabs>
          <w:tab w:val="left" w:pos="3060"/>
          <w:tab w:val="decimal" w:pos="9498"/>
        </w:tabs>
        <w:suppressAutoHyphens w:val="0"/>
        <w:autoSpaceDN/>
        <w:spacing w:after="0" w:line="240" w:lineRule="auto"/>
        <w:textAlignment w:val="auto"/>
        <w:rPr>
          <w:rFonts w:asciiTheme="minorHAnsi" w:eastAsia="MS Gothic" w:hAnsiTheme="minorHAnsi" w:cstheme="minorHAnsi"/>
          <w:bCs/>
        </w:rPr>
      </w:pPr>
      <w:r w:rsidRPr="005F2FC8">
        <w:rPr>
          <w:rFonts w:asciiTheme="minorHAnsi" w:eastAsia="MS Gothic" w:hAnsiTheme="minorHAnsi" w:cstheme="minorHAnsi"/>
          <w:bCs/>
        </w:rPr>
        <w:t>Develop communication products and assets (incl. weblog, social media posts, programme brochures, presentations etc.).</w:t>
      </w:r>
    </w:p>
    <w:p w14:paraId="1AA730F0" w14:textId="0949530C" w:rsidR="00960F14" w:rsidRPr="00446E56" w:rsidRDefault="00960F14" w:rsidP="00960F14">
      <w:pPr>
        <w:pStyle w:val="ListParagraph"/>
        <w:numPr>
          <w:ilvl w:val="0"/>
          <w:numId w:val="4"/>
        </w:numPr>
        <w:tabs>
          <w:tab w:val="left" w:pos="3060"/>
          <w:tab w:val="decimal" w:pos="9498"/>
        </w:tabs>
        <w:suppressAutoHyphens w:val="0"/>
        <w:autoSpaceDN/>
        <w:spacing w:after="0" w:line="240" w:lineRule="auto"/>
        <w:textAlignment w:val="auto"/>
        <w:rPr>
          <w:rFonts w:asciiTheme="minorHAnsi" w:eastAsia="MS Gothic" w:hAnsiTheme="minorHAnsi" w:cstheme="minorHAnsi"/>
          <w:bCs/>
          <w:color w:val="auto"/>
        </w:rPr>
      </w:pPr>
      <w:r w:rsidRPr="00446E56">
        <w:rPr>
          <w:rFonts w:asciiTheme="minorHAnsi" w:eastAsia="MS Gothic" w:hAnsiTheme="minorHAnsi" w:cstheme="minorHAnsi"/>
          <w:bCs/>
        </w:rPr>
        <w:t>Organize and/or engage with strategic discussions in technical and policy events, forums, roundtables etc. on priority areas</w:t>
      </w:r>
      <w:r w:rsidR="00446E56">
        <w:rPr>
          <w:rFonts w:asciiTheme="minorHAnsi" w:eastAsia="MS Gothic" w:hAnsiTheme="minorHAnsi" w:cstheme="minorHAnsi"/>
          <w:bCs/>
        </w:rPr>
        <w:t>.</w:t>
      </w:r>
    </w:p>
    <w:p w14:paraId="3352C481" w14:textId="77777777" w:rsidR="00446E56" w:rsidRPr="00446E56" w:rsidRDefault="00446E56" w:rsidP="00446E56">
      <w:pPr>
        <w:pStyle w:val="ListParagraph"/>
        <w:tabs>
          <w:tab w:val="left" w:pos="3060"/>
          <w:tab w:val="decimal" w:pos="9498"/>
        </w:tabs>
        <w:suppressAutoHyphens w:val="0"/>
        <w:autoSpaceDN/>
        <w:spacing w:after="0" w:line="240" w:lineRule="auto"/>
        <w:textAlignment w:val="auto"/>
        <w:rPr>
          <w:rFonts w:asciiTheme="minorHAnsi" w:eastAsia="MS Gothic" w:hAnsiTheme="minorHAnsi" w:cstheme="minorHAnsi"/>
          <w:bCs/>
          <w:color w:val="auto"/>
        </w:rPr>
      </w:pPr>
    </w:p>
    <w:p w14:paraId="1B0D284E" w14:textId="6C732349" w:rsidR="00960F14" w:rsidRPr="005F2FC8" w:rsidRDefault="00960F14" w:rsidP="00960F14">
      <w:pPr>
        <w:pStyle w:val="ListParagraph"/>
        <w:numPr>
          <w:ilvl w:val="0"/>
          <w:numId w:val="3"/>
        </w:numPr>
        <w:tabs>
          <w:tab w:val="left" w:pos="3060"/>
          <w:tab w:val="decimal" w:pos="9498"/>
        </w:tabs>
        <w:suppressAutoHyphens w:val="0"/>
        <w:autoSpaceDN/>
        <w:spacing w:after="0" w:line="240" w:lineRule="auto"/>
        <w:textAlignment w:val="auto"/>
        <w:rPr>
          <w:rFonts w:asciiTheme="minorHAnsi" w:eastAsia="MS Gothic" w:hAnsiTheme="minorHAnsi" w:cstheme="minorHAnsi"/>
          <w:bCs/>
          <w:i/>
          <w:iCs/>
        </w:rPr>
      </w:pPr>
      <w:r w:rsidRPr="005F2FC8">
        <w:rPr>
          <w:rFonts w:asciiTheme="minorHAnsi" w:eastAsia="MS Gothic" w:hAnsiTheme="minorHAnsi" w:cstheme="minorHAnsi"/>
          <w:bCs/>
          <w:i/>
          <w:iCs/>
        </w:rPr>
        <w:t xml:space="preserve">Partnership and Resource Mobilization </w:t>
      </w:r>
    </w:p>
    <w:p w14:paraId="5CB34673" w14:textId="6F217D0D" w:rsidR="00960F14" w:rsidRPr="005F2FC8" w:rsidRDefault="00960F14" w:rsidP="00960F14">
      <w:pPr>
        <w:pStyle w:val="ListParagraph"/>
        <w:numPr>
          <w:ilvl w:val="0"/>
          <w:numId w:val="4"/>
        </w:numPr>
        <w:tabs>
          <w:tab w:val="left" w:pos="3060"/>
          <w:tab w:val="decimal" w:pos="9498"/>
        </w:tabs>
        <w:suppressAutoHyphens w:val="0"/>
        <w:autoSpaceDN/>
        <w:spacing w:after="0" w:line="240" w:lineRule="auto"/>
        <w:textAlignment w:val="auto"/>
        <w:rPr>
          <w:rFonts w:asciiTheme="minorHAnsi" w:eastAsia="MS Gothic" w:hAnsiTheme="minorHAnsi" w:cstheme="minorHAnsi"/>
          <w:bCs/>
        </w:rPr>
      </w:pPr>
      <w:r w:rsidRPr="005F2FC8">
        <w:rPr>
          <w:rFonts w:asciiTheme="minorHAnsi" w:eastAsia="MS Gothic" w:hAnsiTheme="minorHAnsi" w:cstheme="minorHAnsi"/>
          <w:bCs/>
        </w:rPr>
        <w:t>Support preparation of funding proposals and briefing documents for resource partners (donors) as well as investment cases for broader resource mobilization</w:t>
      </w:r>
    </w:p>
    <w:p w14:paraId="64A295D2" w14:textId="09A6C626" w:rsidR="00960F14" w:rsidRDefault="00960F14" w:rsidP="00960F14">
      <w:pPr>
        <w:pStyle w:val="ListParagraph"/>
        <w:numPr>
          <w:ilvl w:val="0"/>
          <w:numId w:val="4"/>
        </w:numPr>
        <w:tabs>
          <w:tab w:val="left" w:pos="3060"/>
          <w:tab w:val="decimal" w:pos="9498"/>
        </w:tabs>
        <w:suppressAutoHyphens w:val="0"/>
        <w:autoSpaceDN/>
        <w:spacing w:after="0" w:line="240" w:lineRule="auto"/>
        <w:textAlignment w:val="auto"/>
        <w:rPr>
          <w:rFonts w:asciiTheme="minorHAnsi" w:eastAsia="MS Gothic" w:hAnsiTheme="minorHAnsi" w:cstheme="minorHAnsi"/>
          <w:bCs/>
        </w:rPr>
      </w:pPr>
      <w:r w:rsidRPr="005F2FC8">
        <w:rPr>
          <w:rFonts w:asciiTheme="minorHAnsi" w:eastAsia="MS Gothic" w:hAnsiTheme="minorHAnsi" w:cstheme="minorHAnsi"/>
          <w:bCs/>
        </w:rPr>
        <w:t>Support preparation of high-quality donor reports and materials</w:t>
      </w:r>
      <w:r w:rsidR="00446E56">
        <w:rPr>
          <w:rFonts w:asciiTheme="minorHAnsi" w:eastAsia="MS Gothic" w:hAnsiTheme="minorHAnsi" w:cstheme="minorHAnsi"/>
          <w:bCs/>
        </w:rPr>
        <w:t>.</w:t>
      </w:r>
    </w:p>
    <w:p w14:paraId="4A520D5C" w14:textId="68E2E277" w:rsidR="00960F14" w:rsidRPr="0089493C" w:rsidRDefault="00446E56" w:rsidP="00960F14">
      <w:pPr>
        <w:pStyle w:val="ListParagraph"/>
        <w:numPr>
          <w:ilvl w:val="0"/>
          <w:numId w:val="4"/>
        </w:numPr>
        <w:tabs>
          <w:tab w:val="left" w:pos="3060"/>
          <w:tab w:val="left" w:pos="4860"/>
          <w:tab w:val="decimal" w:pos="9498"/>
        </w:tabs>
        <w:suppressAutoHyphens w:val="0"/>
        <w:autoSpaceDN/>
        <w:spacing w:after="0" w:line="240" w:lineRule="auto"/>
        <w:textAlignment w:val="auto"/>
        <w:rPr>
          <w:rFonts w:asciiTheme="minorHAnsi" w:hAnsiTheme="minorHAnsi" w:cstheme="minorHAnsi"/>
          <w:b/>
          <w:bCs/>
          <w:color w:val="auto"/>
          <w:u w:val="single"/>
        </w:rPr>
      </w:pPr>
      <w:r w:rsidRPr="0089493C">
        <w:rPr>
          <w:rFonts w:asciiTheme="minorHAnsi" w:eastAsia="MS Gothic" w:hAnsiTheme="minorHAnsi" w:cstheme="minorHAnsi"/>
          <w:bCs/>
        </w:rPr>
        <w:t>Assist donor field visits and other related events/meetings.</w:t>
      </w:r>
    </w:p>
    <w:sectPr w:rsidR="00960F14" w:rsidRPr="0089493C" w:rsidSect="00960F14">
      <w:pgSz w:w="11900" w:h="16840"/>
      <w:pgMar w:top="1440" w:right="1440" w:bottom="1440" w:left="1440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3FDF6" w14:textId="77777777" w:rsidR="00960F14" w:rsidRDefault="00960F14" w:rsidP="00960F14">
      <w:pPr>
        <w:spacing w:after="0" w:line="240" w:lineRule="auto"/>
      </w:pPr>
      <w:r>
        <w:separator/>
      </w:r>
    </w:p>
  </w:endnote>
  <w:endnote w:type="continuationSeparator" w:id="0">
    <w:p w14:paraId="024A42DE" w14:textId="77777777" w:rsidR="00960F14" w:rsidRDefault="00960F14" w:rsidP="00960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BA510" w14:textId="77777777" w:rsidR="00960F14" w:rsidRDefault="00960F14" w:rsidP="00960F14">
      <w:pPr>
        <w:spacing w:after="0" w:line="240" w:lineRule="auto"/>
      </w:pPr>
      <w:r>
        <w:separator/>
      </w:r>
    </w:p>
  </w:footnote>
  <w:footnote w:type="continuationSeparator" w:id="0">
    <w:p w14:paraId="46874C2C" w14:textId="77777777" w:rsidR="00960F14" w:rsidRDefault="00960F14" w:rsidP="00960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92C63"/>
    <w:multiLevelType w:val="hybridMultilevel"/>
    <w:tmpl w:val="F85CA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D446E"/>
    <w:multiLevelType w:val="hybridMultilevel"/>
    <w:tmpl w:val="3CD4EF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3D1682"/>
    <w:multiLevelType w:val="hybridMultilevel"/>
    <w:tmpl w:val="3B06AD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60B00"/>
    <w:multiLevelType w:val="hybridMultilevel"/>
    <w:tmpl w:val="795C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823017">
    <w:abstractNumId w:val="2"/>
  </w:num>
  <w:num w:numId="2" w16cid:durableId="858081814">
    <w:abstractNumId w:val="3"/>
  </w:num>
  <w:num w:numId="3" w16cid:durableId="407924276">
    <w:abstractNumId w:val="1"/>
  </w:num>
  <w:num w:numId="4" w16cid:durableId="2053847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F14"/>
    <w:rsid w:val="002D33F7"/>
    <w:rsid w:val="00446E56"/>
    <w:rsid w:val="00457C77"/>
    <w:rsid w:val="007810DC"/>
    <w:rsid w:val="007C04D1"/>
    <w:rsid w:val="008247AD"/>
    <w:rsid w:val="0089493C"/>
    <w:rsid w:val="00960F14"/>
    <w:rsid w:val="009B23C4"/>
    <w:rsid w:val="00F4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9788FE"/>
  <w15:chartTrackingRefBased/>
  <w15:docId w15:val="{B83B6E1E-A4AC-4023-AAA3-7A68CC50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60F14"/>
    <w:pPr>
      <w:suppressAutoHyphens/>
      <w:autoSpaceDN w:val="0"/>
      <w:spacing w:after="360" w:line="312" w:lineRule="auto"/>
      <w:textAlignment w:val="baseline"/>
    </w:pPr>
    <w:rPr>
      <w:rFonts w:ascii="Arial" w:eastAsia="MS Mincho" w:hAnsi="Arial" w:cs="Times New Roman"/>
      <w:color w:val="4C5558"/>
      <w:kern w:val="0"/>
      <w:sz w:val="22"/>
      <w:szCs w:val="22"/>
      <w:lang w:val="en-GB"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0F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0F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0F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0F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0F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0F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0F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0F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0F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0F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0F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0F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0F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0F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0F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0F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0F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0F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0F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0F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0F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0F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0F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0F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0F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0F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0F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0F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0F1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960F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60F14"/>
    <w:rPr>
      <w:rFonts w:ascii="Arial" w:eastAsia="MS Mincho" w:hAnsi="Arial" w:cs="Times New Roman"/>
      <w:color w:val="4C5558"/>
      <w:kern w:val="0"/>
      <w:sz w:val="22"/>
      <w:szCs w:val="22"/>
      <w:lang w:val="en-GB" w:eastAsia="en-US"/>
      <w14:ligatures w14:val="none"/>
    </w:rPr>
  </w:style>
  <w:style w:type="paragraph" w:styleId="Footer">
    <w:name w:val="footer"/>
    <w:basedOn w:val="Normal"/>
    <w:link w:val="FooterChar"/>
    <w:rsid w:val="00960F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60F14"/>
    <w:rPr>
      <w:rFonts w:ascii="Arial" w:eastAsia="MS Mincho" w:hAnsi="Arial" w:cs="Times New Roman"/>
      <w:color w:val="4C5558"/>
      <w:kern w:val="0"/>
      <w:sz w:val="22"/>
      <w:szCs w:val="22"/>
      <w:lang w:val="en-GB" w:eastAsia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960F14"/>
    <w:rPr>
      <w:color w:val="467886" w:themeColor="hyperlink"/>
      <w:u w:val="single"/>
    </w:rPr>
  </w:style>
  <w:style w:type="table" w:styleId="TableGrid">
    <w:name w:val="Table Grid"/>
    <w:basedOn w:val="TableNormal"/>
    <w:uiPriority w:val="39"/>
    <w:rsid w:val="00960F14"/>
    <w:pPr>
      <w:autoSpaceDN w:val="0"/>
      <w:spacing w:after="0" w:line="240" w:lineRule="auto"/>
      <w:textAlignment w:val="baseline"/>
    </w:pPr>
    <w:rPr>
      <w:rFonts w:ascii="Cambria" w:eastAsia="MS Mincho" w:hAnsi="Cambria" w:cs="Times New Roman"/>
      <w:kern w:val="0"/>
      <w:sz w:val="20"/>
      <w:szCs w:val="20"/>
      <w:lang w:val="en-GB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9B504-FB65-43B0-A473-302951965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Akihiro Fushimi</dc:creator>
  <cp:keywords/>
  <dc:description/>
  <cp:lastModifiedBy>Akihiro Fushimi</cp:lastModifiedBy>
  <cp:revision>2</cp:revision>
  <dcterms:created xsi:type="dcterms:W3CDTF">2025-07-04T00:28:00Z</dcterms:created>
  <dcterms:modified xsi:type="dcterms:W3CDTF">2025-07-04T00:43:00Z</dcterms:modified>
</cp:coreProperties>
</file>